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line="240" w:lineRule="auto"/>
        <w:rPr>
          <w:rFonts w:ascii="Times New Roman" w:cs="Times New Roman" w:eastAsia="Times New Roman" w:hAnsi="Times New Roman"/>
        </w:rPr>
      </w:pPr>
      <w:r w:rsidDel="00000000" w:rsidR="00000000" w:rsidRPr="00000000">
        <w:rPr>
          <w:rtl w:val="0"/>
        </w:rPr>
      </w:r>
    </w:p>
    <w:tbl>
      <w:tblPr>
        <w:tblStyle w:val="Table1"/>
        <w:tblW w:w="141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5"/>
        <w:gridCol w:w="1890"/>
        <w:gridCol w:w="1605"/>
        <w:gridCol w:w="1890"/>
        <w:gridCol w:w="1545"/>
        <w:gridCol w:w="3105"/>
        <w:gridCol w:w="2055"/>
        <w:tblGridChange w:id="0">
          <w:tblGrid>
            <w:gridCol w:w="2055"/>
            <w:gridCol w:w="1890"/>
            <w:gridCol w:w="1605"/>
            <w:gridCol w:w="1890"/>
            <w:gridCol w:w="1545"/>
            <w:gridCol w:w="3105"/>
            <w:gridCol w:w="2055"/>
          </w:tblGrid>
        </w:tblGridChange>
      </w:tblGrid>
      <w:tr>
        <w:trPr>
          <w:cantSplit w:val="0"/>
          <w:tblHeader w:val="0"/>
        </w:trPr>
        <w:tc>
          <w:tcPr>
            <w:gridSpan w:val="7"/>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02">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30"/>
                <w:szCs w:val="30"/>
                <w:rtl w:val="0"/>
              </w:rPr>
              <w:t xml:space="preserve">UdA </w:t>
            </w:r>
            <w:r w:rsidDel="00000000" w:rsidR="00000000" w:rsidRPr="00000000">
              <w:rPr>
                <w:rtl w:val="0"/>
              </w:rPr>
            </w:r>
          </w:p>
        </w:tc>
      </w:tr>
      <w:tr>
        <w:trPr>
          <w:cantSplit w:val="0"/>
          <w:tblHeader w:val="0"/>
        </w:trPr>
        <w:tc>
          <w:tcPr>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09">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DESTINATARI</w:t>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0A">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DOCENTE</w:t>
            </w:r>
          </w:p>
        </w:tc>
        <w:tc>
          <w:tcPr>
            <w:gridSpan w:val="3"/>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0C">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DISCIPLINA/AREA INTERESSATA</w:t>
            </w:r>
          </w:p>
        </w:tc>
        <w:tc>
          <w:tcPr>
            <w:tcBorders>
              <w:top w:color="000000" w:space="0" w:sz="18" w:val="single"/>
              <w:left w:color="000000" w:space="0" w:sz="4" w:val="single"/>
              <w:bottom w:color="000000" w:space="0" w:sz="18" w:val="single"/>
              <w:right w:color="000000" w:space="0" w:sz="18" w:val="single"/>
            </w:tcBorders>
          </w:tcPr>
          <w:p w:rsidR="00000000" w:rsidDel="00000000" w:rsidP="00000000" w:rsidRDefault="00000000" w:rsidRPr="00000000" w14:paraId="0000000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TEMPI</w:t>
            </w:r>
          </w:p>
        </w:tc>
      </w:tr>
      <w:tr>
        <w:trPr>
          <w:cantSplit w:val="0"/>
          <w:trHeight w:val="516.4973958333335"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0">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Classe I</w:t>
            </w:r>
          </w:p>
        </w:tc>
        <w:tc>
          <w:tcPr>
            <w:gridSpan w:val="2"/>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1">
            <w:pPr>
              <w:spacing w:after="0" w:line="240" w:lineRule="auto"/>
              <w:rPr>
                <w:rFonts w:ascii="Times New Roman" w:cs="Times New Roman" w:eastAsia="Times New Roman" w:hAnsi="Times New Roman"/>
                <w:sz w:val="32"/>
                <w:szCs w:val="32"/>
              </w:rPr>
            </w:pPr>
            <w:r w:rsidDel="00000000" w:rsidR="00000000" w:rsidRPr="00000000">
              <w:rPr>
                <w:rtl w:val="0"/>
              </w:rPr>
            </w:r>
          </w:p>
        </w:tc>
        <w:tc>
          <w:tcPr>
            <w:gridSpan w:val="3"/>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3">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Tecnologia</w:t>
            </w:r>
          </w:p>
        </w:tc>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6">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480" w:hRule="atLeast"/>
          <w:tblHeader w:val="0"/>
        </w:trPr>
        <w:tc>
          <w:tcPr>
            <w:gridSpan w:val="2"/>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17">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Competenze chiave</w:t>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9">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Competenza di cittadinanza attiva</w:t>
            </w:r>
          </w:p>
        </w:tc>
        <w:tc>
          <w:tcPr>
            <w:gridSpan w:val="3"/>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B">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rtl w:val="0"/>
              </w:rPr>
              <w:t xml:space="preserve">COMPETENZE ATTESE</w:t>
            </w:r>
            <w:r w:rsidDel="00000000" w:rsidR="00000000" w:rsidRPr="00000000">
              <w:rPr>
                <w:rtl w:val="0"/>
              </w:rPr>
            </w:r>
          </w:p>
        </w:tc>
      </w:tr>
      <w:tr>
        <w:trPr>
          <w:cantSplit w:val="0"/>
          <w:trHeight w:val="420" w:hRule="atLeast"/>
          <w:tblHeader w:val="0"/>
        </w:trPr>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E">
            <w:pPr>
              <w:numPr>
                <w:ilvl w:val="0"/>
                <w:numId w:val="2"/>
              </w:numPr>
              <w:shd w:fill="ffffff" w:val="clear"/>
              <w:spacing w:after="40" w:line="240" w:lineRule="auto"/>
              <w:ind w:left="720" w:right="333.4251968503938" w:hanging="360"/>
              <w:rPr>
                <w:rFonts w:ascii="Times New Roman" w:cs="Times New Roman" w:eastAsia="Times New Roman" w:hAnsi="Times New Roman"/>
              </w:rPr>
            </w:pPr>
            <w:hyperlink r:id="rId6">
              <w:r w:rsidDel="00000000" w:rsidR="00000000" w:rsidRPr="00000000">
                <w:rPr>
                  <w:rFonts w:ascii="Times New Roman" w:cs="Times New Roman" w:eastAsia="Times New Roman" w:hAnsi="Times New Roman"/>
                  <w:u w:val="single"/>
                  <w:rtl w:val="0"/>
                </w:rPr>
                <w:t xml:space="preserve">Comunicazione nella madrelingua</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4" name=""/>
                      <a:graphic>
                        <a:graphicData uri="http://schemas.microsoft.com/office/word/2010/wordprocessingShape">
                          <wps:wsp>
                            <wps:cNvSpPr/>
                            <wps:cNvPr id="5" name="Shape 5"/>
                            <wps:spPr>
                              <a:xfrm>
                                <a:off x="5391720" y="3835880"/>
                                <a:ext cx="1333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6" name=""/>
                      <a:graphic>
                        <a:graphicData uri="http://schemas.microsoft.com/office/word/2010/wordprocessingShape">
                          <wps:wsp>
                            <wps:cNvSpPr/>
                            <wps:cNvPr id="7" name="Shape 7"/>
                            <wps:spPr>
                              <a:xfrm>
                                <a:off x="5374575" y="385302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1F">
            <w:pPr>
              <w:numPr>
                <w:ilvl w:val="0"/>
                <w:numId w:val="2"/>
              </w:numPr>
              <w:shd w:fill="ffffff" w:val="clear"/>
              <w:spacing w:after="40" w:line="240" w:lineRule="auto"/>
              <w:ind w:left="720" w:hanging="360"/>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u w:val="single"/>
                  <w:rtl w:val="0"/>
                </w:rPr>
                <w:t xml:space="preserve">Comunicazione nelle lingue straniere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 name=""/>
                      <a:graphic>
                        <a:graphicData uri="http://schemas.microsoft.com/office/word/2010/wordprocessingShape">
                          <wps:wsp>
                            <wps:cNvSpPr/>
                            <wps:cNvPr id="3" name="Shape 3"/>
                            <wps:spPr>
                              <a:xfrm>
                                <a:off x="5378385" y="383905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0">
            <w:pPr>
              <w:numPr>
                <w:ilvl w:val="0"/>
                <w:numId w:val="2"/>
              </w:numPr>
              <w:shd w:fill="ffffff" w:val="clear"/>
              <w:spacing w:after="40" w:line="240" w:lineRule="auto"/>
              <w:ind w:left="720" w:hanging="360"/>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u w:val="single"/>
                  <w:rtl w:val="0"/>
                </w:rPr>
                <w:t xml:space="preserve">Competenza matematica e competenze di base in scienza e tecnologia</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 name=""/>
                      <a:graphic>
                        <a:graphicData uri="http://schemas.microsoft.com/office/word/2010/wordprocessingShape">
                          <wps:wsp>
                            <wps:cNvSpPr/>
                            <wps:cNvPr id="4" name="Shape 4"/>
                            <wps:spPr>
                              <a:xfrm>
                                <a:off x="5389815" y="3865090"/>
                                <a:ext cx="114300" cy="1143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1">
            <w:pPr>
              <w:numPr>
                <w:ilvl w:val="0"/>
                <w:numId w:val="2"/>
              </w:numPr>
              <w:shd w:fill="ffffff" w:val="clear"/>
              <w:spacing w:after="40" w:line="240" w:lineRule="auto"/>
              <w:ind w:left="720" w:hanging="360"/>
              <w:rPr>
                <w:rFonts w:ascii="Times New Roman" w:cs="Times New Roman" w:eastAsia="Times New Roman" w:hAnsi="Times New Roman"/>
              </w:rPr>
            </w:pPr>
            <w:hyperlink r:id="rId10">
              <w:r w:rsidDel="00000000" w:rsidR="00000000" w:rsidRPr="00000000">
                <w:rPr>
                  <w:rFonts w:ascii="Times New Roman" w:cs="Times New Roman" w:eastAsia="Times New Roman" w:hAnsi="Times New Roman"/>
                  <w:u w:val="single"/>
                  <w:rtl w:val="0"/>
                </w:rPr>
                <w:t xml:space="preserve">Competenza digitale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5" name=""/>
                      <a:graphic>
                        <a:graphicData uri="http://schemas.microsoft.com/office/word/2010/wordprocessingShape">
                          <wps:wsp>
                            <wps:cNvSpPr/>
                            <wps:cNvPr id="6" name="Shape 6"/>
                            <wps:spPr>
                              <a:xfrm>
                                <a:off x="5350445" y="3840325"/>
                                <a:ext cx="1333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2">
            <w:pPr>
              <w:numPr>
                <w:ilvl w:val="0"/>
                <w:numId w:val="2"/>
              </w:numPr>
              <w:shd w:fill="ffffff" w:val="clear"/>
              <w:spacing w:after="40" w:line="240" w:lineRule="auto"/>
              <w:ind w:left="720" w:hanging="360"/>
              <w:rPr>
                <w:rFonts w:ascii="Times New Roman" w:cs="Times New Roman" w:eastAsia="Times New Roman" w:hAnsi="Times New Roman"/>
              </w:rPr>
            </w:pPr>
            <w:hyperlink r:id="rId11">
              <w:r w:rsidDel="00000000" w:rsidR="00000000" w:rsidRPr="00000000">
                <w:rPr>
                  <w:rFonts w:ascii="Times New Roman" w:cs="Times New Roman" w:eastAsia="Times New Roman" w:hAnsi="Times New Roman"/>
                  <w:u w:val="single"/>
                  <w:rtl w:val="0"/>
                </w:rPr>
                <w:t xml:space="preserve">Imparare ad imparare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1" name=""/>
                      <a:graphic>
                        <a:graphicData uri="http://schemas.microsoft.com/office/word/2010/wordprocessingShape">
                          <wps:wsp>
                            <wps:cNvSpPr/>
                            <wps:cNvPr id="2" name="Shape 2"/>
                            <wps:spPr>
                              <a:xfrm>
                                <a:off x="5347270" y="385175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3">
            <w:pPr>
              <w:numPr>
                <w:ilvl w:val="0"/>
                <w:numId w:val="2"/>
              </w:numPr>
              <w:shd w:fill="ffffff" w:val="clear"/>
              <w:spacing w:after="40" w:line="240" w:lineRule="auto"/>
              <w:ind w:left="720" w:hanging="360"/>
              <w:rPr>
                <w:rFonts w:ascii="Times New Roman" w:cs="Times New Roman" w:eastAsia="Times New Roman" w:hAnsi="Times New Roman"/>
              </w:rPr>
            </w:pPr>
            <w:hyperlink r:id="rId12">
              <w:r w:rsidDel="00000000" w:rsidR="00000000" w:rsidRPr="00000000">
                <w:rPr>
                  <w:rFonts w:ascii="Times New Roman" w:cs="Times New Roman" w:eastAsia="Times New Roman" w:hAnsi="Times New Roman"/>
                  <w:u w:val="single"/>
                  <w:rtl w:val="0"/>
                </w:rPr>
                <w:t xml:space="preserve">Competenze sociali e civiche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8" name=""/>
                      <a:graphic>
                        <a:graphicData uri="http://schemas.microsoft.com/office/word/2010/wordprocessingShape">
                          <wps:wsp>
                            <wps:cNvSpPr/>
                            <wps:cNvPr id="9" name="Shape 9"/>
                            <wps:spPr>
                              <a:xfrm>
                                <a:off x="5346000" y="3853025"/>
                                <a:ext cx="123825" cy="1143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4">
            <w:pPr>
              <w:numPr>
                <w:ilvl w:val="0"/>
                <w:numId w:val="2"/>
              </w:numPr>
              <w:shd w:fill="ffffff" w:val="clear"/>
              <w:spacing w:after="40" w:line="240" w:lineRule="auto"/>
              <w:ind w:left="720" w:hanging="360"/>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u w:val="single"/>
                  <w:rtl w:val="0"/>
                </w:rPr>
                <w:t xml:space="preserve">Spirito di iniziativa e imprenditorialità</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7" name=""/>
                      <a:graphic>
                        <a:graphicData uri="http://schemas.microsoft.com/office/word/2010/wordprocessingShape">
                          <wps:wsp>
                            <wps:cNvSpPr/>
                            <wps:cNvPr id="8" name="Shape 8"/>
                            <wps:spPr>
                              <a:xfrm>
                                <a:off x="5372669" y="3862550"/>
                                <a:ext cx="133351"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5">
            <w:pPr>
              <w:numPr>
                <w:ilvl w:val="0"/>
                <w:numId w:val="2"/>
              </w:numPr>
              <w:shd w:fill="ffffff" w:val="clear"/>
              <w:spacing w:after="40" w:line="240" w:lineRule="auto"/>
              <w:ind w:left="720" w:hanging="360"/>
              <w:rPr>
                <w:rFonts w:ascii="Noto Sans Symbols" w:cs="Noto Sans Symbols" w:eastAsia="Noto Sans Symbols" w:hAnsi="Noto Sans Symbols"/>
              </w:rPr>
            </w:pPr>
            <w:hyperlink r:id="rId14">
              <w:r w:rsidDel="00000000" w:rsidR="00000000" w:rsidRPr="00000000">
                <w:rPr>
                  <w:rFonts w:ascii="Times New Roman" w:cs="Times New Roman" w:eastAsia="Times New Roman" w:hAnsi="Times New Roman"/>
                  <w:u w:val="single"/>
                  <w:rtl w:val="0"/>
                </w:rPr>
                <w:t xml:space="preserve">Consapevolezza ed espressione cultural</w:t>
              </w:r>
            </w:hyperlink>
            <w:hyperlink r:id="rId15">
              <w:r w:rsidDel="00000000" w:rsidR="00000000" w:rsidRPr="00000000">
                <w:rPr>
                  <w:rFonts w:ascii="Times New Roman" w:cs="Times New Roman" w:eastAsia="Times New Roman" w:hAnsi="Times New Roman"/>
                  <w:b w:val="1"/>
                  <w:bCs w:val="1"/>
                  <w:u w:val="single"/>
                  <w:rtl w:val="0"/>
                </w:rPr>
                <w:t xml:space="preserve">e</w:t>
              </w:r>
            </w:hyperlink>
            <w:r w:rsidDel="00000000" w:rsidR="00000000" w:rsidRPr="00000000">
              <w:rPr>
                <w:rtl w:val="0"/>
              </w:rPr>
            </w:r>
          </w:p>
          <w:p w:rsidR="00000000" w:rsidDel="00000000" w:rsidP="00000000" w:rsidRDefault="00000000" w:rsidRPr="00000000" w14:paraId="00000026">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2A">
            <w:pPr>
              <w:numPr>
                <w:ilvl w:val="1"/>
                <w:numId w:val="1"/>
              </w:numPr>
              <w:spacing w:after="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Imparare ad imparare.</w:t>
            </w:r>
          </w:p>
          <w:p w:rsidR="00000000" w:rsidDel="00000000" w:rsidP="00000000" w:rsidRDefault="00000000" w:rsidRPr="00000000" w14:paraId="0000002B">
            <w:pPr>
              <w:numPr>
                <w:ilvl w:val="1"/>
                <w:numId w:val="1"/>
              </w:numPr>
              <w:spacing w:after="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Progettare.</w:t>
            </w:r>
          </w:p>
          <w:p w:rsidR="00000000" w:rsidDel="00000000" w:rsidP="00000000" w:rsidRDefault="00000000" w:rsidRPr="00000000" w14:paraId="0000002C">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Comunicare.</w:t>
            </w:r>
          </w:p>
          <w:p w:rsidR="00000000" w:rsidDel="00000000" w:rsidP="00000000" w:rsidRDefault="00000000" w:rsidRPr="00000000" w14:paraId="0000002D">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Collaborare e partecipare.</w:t>
            </w:r>
          </w:p>
          <w:p w:rsidR="00000000" w:rsidDel="00000000" w:rsidP="00000000" w:rsidRDefault="00000000" w:rsidRPr="00000000" w14:paraId="0000002E">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Agire in modo autonomo e responsabile.</w:t>
            </w:r>
          </w:p>
          <w:p w:rsidR="00000000" w:rsidDel="00000000" w:rsidP="00000000" w:rsidRDefault="00000000" w:rsidRPr="00000000" w14:paraId="0000002F">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Risolvere problemi</w:t>
            </w:r>
          </w:p>
          <w:p w:rsidR="00000000" w:rsidDel="00000000" w:rsidP="00000000" w:rsidRDefault="00000000" w:rsidRPr="00000000" w14:paraId="00000030">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Individuare collegamenti e relazioni</w:t>
            </w:r>
          </w:p>
          <w:p w:rsidR="00000000" w:rsidDel="00000000" w:rsidP="00000000" w:rsidRDefault="00000000" w:rsidRPr="00000000" w14:paraId="00000031">
            <w:pPr>
              <w:spacing w:after="0" w:line="240" w:lineRule="auto"/>
              <w:ind w:left="432" w:hanging="426"/>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3.3 Acquisire e interpretare l’informazione.</w:t>
            </w:r>
            <w:r w:rsidDel="00000000" w:rsidR="00000000" w:rsidRPr="00000000">
              <w:rPr>
                <w:rtl w:val="0"/>
              </w:rPr>
            </w:r>
          </w:p>
        </w:tc>
        <w:tc>
          <w:tcPr>
            <w:gridSpan w:val="3"/>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33">
            <w:pP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rtl w:val="0"/>
              </w:rPr>
              <w:t xml:space="preserve"> Riconoscere e identificare nell’ambiente elementi e fenomeni di tipo artificiale.                                                                                    • Iniziare a riconoscere in modo critico le caratteristiche, le funzioni e i limiti della tecnologia attuale.</w:t>
            </w:r>
            <w:r w:rsidDel="00000000" w:rsidR="00000000" w:rsidRPr="00000000">
              <w:rPr>
                <w:rtl w:val="0"/>
              </w:rPr>
            </w:r>
          </w:p>
          <w:p w:rsidR="00000000" w:rsidDel="00000000" w:rsidP="00000000" w:rsidRDefault="00000000" w:rsidRPr="00000000" w14:paraId="0000003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Comprendere alcuni processi di trasformazione di risorse e di consumo di energia e il relativo impatto ambientale.</w:t>
            </w:r>
          </w:p>
          <w:p w:rsidR="00000000" w:rsidDel="00000000" w:rsidP="00000000" w:rsidRDefault="00000000" w:rsidRPr="00000000" w14:paraId="0000003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Essere in grado di utilizzare, concepire e realizzare semplici modelli e oggetti funzionali, anche tenendo conto dei principi di sostenibilità e funzionalità.                                                                                                                                                                            • Comprendere e spiegare il funzionamento di dispositivi tecnologici semplici e saper risolvere problemi tecnici elementari.</w:t>
            </w:r>
          </w:p>
          <w:p w:rsidR="00000000" w:rsidDel="00000000" w:rsidP="00000000" w:rsidRDefault="00000000" w:rsidRPr="00000000" w14:paraId="00000036">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 Saper ricavare informazioni utili su proprietà e caratteristiche di beni o servizi leggendo etichette, volantini o altra documentazione tecnica e commerciale.                                                                                                                                                                • Orientarsi tra i diversi mezzi di comunicazione ed essere in grado di farne un uso adeguato a seconda delle diverse situazioni.                                                                                                                                                                                                                • Produrre semplici modelli o rappresentazioni grafiche del proprio operato utilizzando elementi del disegno tecnico o strumenti multimediali.</w:t>
            </w: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INFORMATICA:</w:t>
            </w:r>
          </w:p>
          <w:p w:rsidR="00000000" w:rsidDel="00000000" w:rsidP="00000000" w:rsidRDefault="00000000" w:rsidRPr="00000000" w14:paraId="0000003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Riconoscere la presenza dei computer nei dispositivi tecnologici della vita quotidiana.</w:t>
            </w:r>
          </w:p>
          <w:p w:rsidR="00000000" w:rsidDel="00000000" w:rsidP="00000000" w:rsidRDefault="00000000" w:rsidRPr="00000000" w14:paraId="0000003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Riconoscere Internet come infrastruttura di comunicazione, distinguendola dai relativi servizi </w:t>
            </w:r>
            <w:r w:rsidDel="00000000" w:rsidR="00000000" w:rsidRPr="00000000">
              <w:rPr>
                <w:rFonts w:ascii="Times New Roman" w:cs="Times New Roman" w:eastAsia="Times New Roman" w:hAnsi="Times New Roman"/>
                <w:b w:val="1"/>
                <w:bCs w:val="1"/>
                <w:rtl w:val="0"/>
              </w:rPr>
              <w:t xml:space="preserve">(es: motori di ricerca, posta elettronica, World Wide Web)</w:t>
            </w:r>
            <w:r w:rsidDel="00000000" w:rsidR="00000000" w:rsidRPr="00000000">
              <w:rPr>
                <w:rFonts w:ascii="Times New Roman" w:cs="Times New Roman" w:eastAsia="Times New Roman" w:hAnsi="Times New Roman"/>
                <w:rtl w:val="0"/>
              </w:rPr>
              <w:t xml:space="preserve"> e dai contenuti trasmessi.</w:t>
            </w:r>
          </w:p>
          <w:p w:rsidR="00000000" w:rsidDel="00000000" w:rsidP="00000000" w:rsidRDefault="00000000" w:rsidRPr="00000000" w14:paraId="0000003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Comprendere le regole fondamentali per un utilizzo sicuro e socialmente responsabile della tecnologia informatica.</w:t>
            </w:r>
          </w:p>
          <w:p w:rsidR="00000000" w:rsidDel="00000000" w:rsidP="00000000" w:rsidRDefault="00000000" w:rsidRPr="00000000" w14:paraId="0000003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Usare la tecnologia informatica per scegliere ed usare contenuti digitali.                                                                                                                   • Sviluppare un atteggiamento positivo nei confronti delle applicazioni informatiche riconoscendone le potenzialità come strumenti di espressione personale nella vita quotidiana.</w:t>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vAlign w:val="center"/>
          </w:tcPr>
          <w:p w:rsidR="00000000" w:rsidDel="00000000" w:rsidP="00000000" w:rsidRDefault="00000000" w:rsidRPr="00000000" w14:paraId="0000003E">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28"/>
                <w:szCs w:val="28"/>
                <w:rtl w:val="0"/>
              </w:rPr>
              <w:t xml:space="preserve">ARTICOLAZIONE DELL’UDA</w:t>
            </w:r>
            <w:r w:rsidDel="00000000" w:rsidR="00000000" w:rsidRPr="00000000">
              <w:rPr>
                <w:rtl w:val="0"/>
              </w:rPr>
            </w:r>
          </w:p>
        </w:tc>
      </w:tr>
      <w:tr>
        <w:trPr>
          <w:cantSplit w:val="0"/>
          <w:trHeight w:val="440" w:hRule="atLeast"/>
          <w:tblHeader w:val="0"/>
        </w:trPr>
        <w:tc>
          <w:tcPr>
            <w:gridSpan w:val="2"/>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5">
            <w:pPr>
              <w:shd w:fill="ffffff" w:val="clear"/>
              <w:spacing w:after="0" w:line="240" w:lineRule="auto"/>
              <w:ind w:left="3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OBIETTIVI DI APPRENDIMENTO</w:t>
            </w:r>
          </w:p>
        </w:tc>
        <w:tc>
          <w:tcPr>
            <w:gridSpan w:val="3"/>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CONTENUTI</w:t>
            </w:r>
          </w:p>
          <w:p w:rsidR="00000000" w:rsidDel="00000000" w:rsidP="00000000" w:rsidRDefault="00000000" w:rsidRPr="00000000" w14:paraId="00000048">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gridSpan w:val="2"/>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ATTIVITÀ/COMPITI SIGNIFICATIVI</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20"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4E">
            <w:pPr>
              <w:spacing w:after="0" w:line="240" w:lineRule="auto"/>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VEDERE, OSSERVARE E SPERIMENTARE</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4F">
            <w:pPr>
              <w:spacing w:after="0" w:line="240" w:lineRule="auto"/>
              <w:jc w:val="both"/>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051">
            <w:pPr>
              <w:spacing w:after="0" w:line="240" w:lineRule="auto"/>
              <w:jc w:val="both"/>
              <w:rPr>
                <w:rFonts w:ascii="Times New Roman" w:cs="Times New Roman" w:eastAsia="Times New Roman" w:hAnsi="Times New Roman"/>
                <w:b w:val="1"/>
                <w:bCs w:val="1"/>
                <w:smallCaps w:val="1"/>
              </w:rPr>
            </w:pP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5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Identificare e descrivere le funzioni principali di strumenti d'uso quotidiano (scolastico e domestico) in risposta ai bisogni dell'uomo.                                                                                                  • Osservare ed esplorare oggetti comuni identificando le parti costitutive.</w:t>
            </w:r>
          </w:p>
        </w:tc>
        <w:tc>
          <w:tcPr>
            <w:gridSpan w:val="3"/>
            <w:vMerge w:val="restart"/>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r>
          </w:p>
        </w:tc>
        <w:tc>
          <w:tcPr>
            <w:gridSpan w:val="2"/>
            <w:vMerge w:val="restart"/>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5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PREVEDERE, IMMAGINARE E PROGETTARE</w:t>
            </w:r>
            <w:r w:rsidDel="00000000" w:rsidR="00000000" w:rsidRPr="00000000">
              <w:rPr>
                <w:rFonts w:ascii="Times New Roman" w:cs="Times New Roman" w:eastAsia="Times New Roman" w:hAnsi="Times New Roman"/>
                <w:rtl w:val="0"/>
              </w:rPr>
              <w:t xml:space="preserve"> </w:t>
            </w:r>
          </w:p>
        </w:tc>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5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Seguire istruzioni semplici e sequenziali per eseguire compiti operativi o giochi di costruzione.                                                                                                  • Rappresentare graficamente le fasi essenziali di un'attività svolta.</w:t>
            </w:r>
          </w:p>
        </w:tc>
        <w:tc>
          <w:tcPr>
            <w:gridSpan w:val="3"/>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A">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26.0742187499995"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INTERVENIRE, TRASFORMARE E PRODURRE</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Manipolare materiali diversi (carta, cartoncino, plastilina) utilizzando strumenti da taglio e incollaggio in sicurezza.                                             • Realizzare semplici manufatti seguendo modelli guidati dal docente.</w:t>
            </w:r>
          </w:p>
        </w:tc>
        <w:tc>
          <w:tcPr>
            <w:gridSpan w:val="3"/>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61">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INFORMATICA</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Identificare le principali componenti hardware e software e capire a cosa servono le funzioni base di un dispositivo.</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Conoscere le regole per un uso corretto e rispettoso dei servizi disponibili sulla rete.</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Conoscere semplici applicazioni informatiche che permettono la creazione e la modifica di contenuti digitali</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Avviare allo sviluppo del Pensiero Computazionale attraverso attività di coding unplugged</w:t>
            </w:r>
            <w:r w:rsidDel="00000000" w:rsidR="00000000" w:rsidRPr="00000000">
              <w:rPr>
                <w:rtl w:val="0"/>
              </w:rPr>
            </w:r>
          </w:p>
        </w:tc>
        <w:tc>
          <w:tcPr>
            <w:gridSpan w:val="3"/>
            <w:vMerge w:val="continue"/>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B">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70">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METODOLOGIA</w:t>
            </w:r>
            <w:r w:rsidDel="00000000" w:rsidR="00000000" w:rsidRPr="00000000">
              <w:rPr>
                <w:rtl w:val="0"/>
              </w:rPr>
            </w:r>
          </w:p>
        </w:tc>
      </w:tr>
      <w:tr>
        <w:trPr>
          <w:cantSplit w:val="0"/>
          <w:tblHeader w:val="0"/>
        </w:trPr>
        <w:tc>
          <w:tcPr>
            <w:gridSpan w:val="7"/>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7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metodologia e i contenuti faranno sempre riferimento a tutto ciò che di concreto e manipolabile può offrire la realtà. In particolare l’attenzione verrà posta sulla presa di coscienza del proprio corpo e degli organi di senso, strumenti indispensabili per porsi in relazione con il con una progressiva acquisizione della percezione del proprio corpo in relazione all’ambiente esterno dal più vicino al più lontano.</w:t>
            </w:r>
          </w:p>
          <w:p w:rsidR="00000000" w:rsidDel="00000000" w:rsidP="00000000" w:rsidRDefault="00000000" w:rsidRPr="00000000" w14:paraId="0000007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osservazioni dei fenomeni a lungo termine saranno considerate come punti centrali per lo sviluppo della disciplina poiché offrono molti spunti didattici, stimolano il ragionamento, la capacità di fare ipotesi interpretative e verificarle nel concreto.</w:t>
            </w:r>
          </w:p>
          <w:p w:rsidR="00000000" w:rsidDel="00000000" w:rsidP="00000000" w:rsidRDefault="00000000" w:rsidRPr="00000000" w14:paraId="0000007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tutte le attività previste si farà riferimento al metodo scientifico che prevede osservazioni, confronti, descrizioni e classificazioni. Si arriverà alla strutturazione di competenze e all’acquisizione di concetti attraverso attività di indagine e ricerca.</w:t>
            </w:r>
          </w:p>
          <w:p w:rsidR="00000000" w:rsidDel="00000000" w:rsidP="00000000" w:rsidRDefault="00000000" w:rsidRPr="00000000" w14:paraId="0000007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Questo modo di procedere porterà il bambino nel corso degli anni ad assumere un atteggiamento corretto nei confronti delle scienze sperimentali sia stimolando l’interesse per la disciplina in sé sia, in una visione più ampia, favorendo un atteggiamento mentale positivo verso tutti gli aspetti della realtà che lo circonda.</w:t>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81">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AMBIENTE DI APPRENDIMENTO</w:t>
            </w:r>
            <w:r w:rsidDel="00000000" w:rsidR="00000000" w:rsidRPr="00000000">
              <w:rPr>
                <w:rtl w:val="0"/>
              </w:rPr>
            </w:r>
          </w:p>
        </w:tc>
      </w:tr>
      <w:tr>
        <w:trPr>
          <w:cantSplit w:val="0"/>
          <w:tblHeader w:val="0"/>
        </w:trPr>
        <w:tc>
          <w:tcPr>
            <w:gridSpan w:val="7"/>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88">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Valorizzazione dell’esperienza e delle conoscenze degli alunni</w:t>
            </w:r>
          </w:p>
          <w:p w:rsidR="00000000" w:rsidDel="00000000" w:rsidP="00000000" w:rsidRDefault="00000000" w:rsidRPr="00000000" w14:paraId="00000089">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Promozione della consapevolezza del proprio modo di essere</w:t>
            </w:r>
          </w:p>
          <w:p w:rsidR="00000000" w:rsidDel="00000000" w:rsidP="00000000" w:rsidRDefault="00000000" w:rsidRPr="00000000" w14:paraId="0000008A">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Attuazione di interventi adeguati nei riguardi della diversità</w:t>
            </w:r>
          </w:p>
          <w:p w:rsidR="00000000" w:rsidDel="00000000" w:rsidP="00000000" w:rsidRDefault="00000000" w:rsidRPr="00000000" w14:paraId="0000008B">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Problematizzazione, esplorazione e scoperta</w:t>
            </w:r>
          </w:p>
          <w:p w:rsidR="00000000" w:rsidDel="00000000" w:rsidP="00000000" w:rsidRDefault="00000000" w:rsidRPr="00000000" w14:paraId="0000008C">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Sensibilizzazione all’apprendimento collaborativo</w:t>
            </w:r>
          </w:p>
          <w:p w:rsidR="00000000" w:rsidDel="00000000" w:rsidP="00000000" w:rsidRDefault="00000000" w:rsidRPr="00000000" w14:paraId="0000008D">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Realizzazione di percorsi in forma di laboratorio</w:t>
            </w:r>
          </w:p>
          <w:p w:rsidR="00000000" w:rsidDel="00000000" w:rsidP="00000000" w:rsidRDefault="00000000" w:rsidRPr="00000000" w14:paraId="0000008E">
            <w:pPr>
              <w:tabs>
                <w:tab w:val="left" w:leader="none" w:pos="2844"/>
              </w:tabs>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L’errore verrà considerato come una risorsa per trovare la strada giusta nel risolvere problemi.</w:t>
            </w:r>
            <w:r w:rsidDel="00000000" w:rsidR="00000000" w:rsidRPr="00000000">
              <w:rPr>
                <w:rtl w:val="0"/>
              </w:rPr>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95">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VALUTAZIONE</w:t>
            </w:r>
            <w:r w:rsidDel="00000000" w:rsidR="00000000" w:rsidRPr="00000000">
              <w:rPr>
                <w:rtl w:val="0"/>
              </w:rPr>
            </w:r>
          </w:p>
        </w:tc>
      </w:tr>
      <w:tr>
        <w:trPr>
          <w:cantSplit w:val="0"/>
          <w:tblHeader w:val="0"/>
        </w:trPr>
        <w:tc>
          <w:tcPr>
            <w:gridSpan w:val="2"/>
            <w:tcBorders>
              <w:top w:color="000000" w:space="0" w:sz="18" w:val="single"/>
              <w:left w:color="000000" w:space="0" w:sz="4" w:val="single"/>
              <w:bottom w:color="000000" w:space="0" w:sz="4" w:val="single"/>
              <w:right w:color="000000" w:space="0" w:sz="6" w:val="single"/>
            </w:tcBorders>
          </w:tcPr>
          <w:p w:rsidR="00000000" w:rsidDel="00000000" w:rsidP="00000000" w:rsidRDefault="00000000" w:rsidRPr="00000000" w14:paraId="0000009C">
            <w:pPr>
              <w:tabs>
                <w:tab w:val="left" w:leader="none" w:pos="2844"/>
              </w:tabs>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4"/>
                <w:szCs w:val="24"/>
                <w:rtl w:val="0"/>
              </w:rPr>
              <w:t xml:space="preserve">Modalità di valutazione- strumenti</w:t>
            </w:r>
            <w:r w:rsidDel="00000000" w:rsidR="00000000" w:rsidRPr="00000000">
              <w:rPr>
                <w:rtl w:val="0"/>
              </w:rPr>
            </w:r>
          </w:p>
        </w:tc>
        <w:tc>
          <w:tcPr>
            <w:gridSpan w:val="5"/>
            <w:tcBorders>
              <w:top w:color="000000" w:space="0" w:sz="18" w:val="single"/>
              <w:left w:color="000000" w:space="0" w:sz="6" w:val="single"/>
              <w:bottom w:color="000000" w:space="0" w:sz="4" w:val="single"/>
              <w:right w:color="000000" w:space="0" w:sz="4" w:val="single"/>
            </w:tcBorders>
          </w:tcPr>
          <w:p w:rsidR="00000000" w:rsidDel="00000000" w:rsidP="00000000" w:rsidRDefault="00000000" w:rsidRPr="00000000" w14:paraId="0000009E">
            <w:pPr>
              <w:tabs>
                <w:tab w:val="left" w:leader="none" w:pos="2844"/>
              </w:tabs>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24"/>
                <w:szCs w:val="24"/>
                <w:rtl w:val="0"/>
              </w:rPr>
              <w:t xml:space="preserve">Recupero/consolidamento/potenziamento</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6" w:val="single"/>
            </w:tcBorders>
          </w:tcPr>
          <w:p w:rsidR="00000000" w:rsidDel="00000000" w:rsidP="00000000" w:rsidRDefault="00000000" w:rsidRPr="00000000" w14:paraId="000000A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tipologie degli strumenti di utilizzati saranno:</w:t>
            </w:r>
          </w:p>
          <w:p w:rsidR="00000000" w:rsidDel="00000000" w:rsidP="00000000" w:rsidRDefault="00000000" w:rsidRPr="00000000" w14:paraId="000000A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prove soggettive/oggettive </w:t>
            </w:r>
          </w:p>
          <w:p w:rsidR="00000000" w:rsidDel="00000000" w:rsidP="00000000" w:rsidRDefault="00000000" w:rsidRPr="00000000" w14:paraId="000000A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prove pratiche </w:t>
            </w:r>
          </w:p>
          <w:p w:rsidR="00000000" w:rsidDel="00000000" w:rsidP="00000000" w:rsidRDefault="00000000" w:rsidRPr="00000000" w14:paraId="000000A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test oggettivi </w:t>
            </w:r>
          </w:p>
          <w:p w:rsidR="00000000" w:rsidDel="00000000" w:rsidP="00000000" w:rsidRDefault="00000000" w:rsidRPr="00000000" w14:paraId="000000A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colloqui con gli studenti (interrogazioni) che saranno opportunamente integrati da osservazioni sistematiche significative</w:t>
            </w:r>
          </w:p>
        </w:tc>
        <w:tc>
          <w:tcPr>
            <w:gridSpan w:val="5"/>
            <w:tcBorders>
              <w:top w:color="000000" w:space="0" w:sz="4" w:val="single"/>
              <w:left w:color="000000" w:space="0" w:sz="6" w:val="single"/>
              <w:bottom w:color="000000" w:space="0" w:sz="4" w:val="single"/>
              <w:right w:color="000000" w:space="0" w:sz="4" w:val="single"/>
            </w:tcBorders>
          </w:tcPr>
          <w:p w:rsidR="00000000" w:rsidDel="00000000" w:rsidP="00000000" w:rsidRDefault="00000000" w:rsidRPr="00000000" w14:paraId="000000A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recupero/consolidamento/potenziamento avverrà per mezzi “correttivi” che potranno essere: uso di test alternativi, per offrire all’allievo una presentazione diversa del contenuto. </w:t>
            </w:r>
          </w:p>
          <w:p w:rsidR="00000000" w:rsidDel="00000000" w:rsidP="00000000" w:rsidRDefault="00000000" w:rsidRPr="00000000" w14:paraId="000000A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Schede semplificate. </w:t>
            </w:r>
          </w:p>
          <w:p w:rsidR="00000000" w:rsidDel="00000000" w:rsidP="00000000" w:rsidRDefault="00000000" w:rsidRPr="00000000" w14:paraId="000000AB">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Materiale audiovisivo, corredato da mappe concettuali, fotografie, diapositive, lucidi, uso appropriato delle tecnologie multimediale, tutoring correttivo.</w:t>
            </w:r>
            <w:r w:rsidDel="00000000" w:rsidR="00000000" w:rsidRPr="00000000">
              <w:rPr>
                <w:rtl w:val="0"/>
              </w:rPr>
            </w:r>
          </w:p>
        </w:tc>
      </w:tr>
    </w:tbl>
    <w:p w:rsidR="00000000" w:rsidDel="00000000" w:rsidP="00000000" w:rsidRDefault="00000000" w:rsidRPr="00000000" w14:paraId="000000B0">
      <w:pPr>
        <w:spacing w:after="0" w:line="240" w:lineRule="auto"/>
        <w:rPr>
          <w:rFonts w:ascii="Times New Roman" w:cs="Times New Roman" w:eastAsia="Times New Roman" w:hAnsi="Times New Roman"/>
        </w:rPr>
      </w:pPr>
      <w:r w:rsidDel="00000000" w:rsidR="00000000" w:rsidRPr="00000000">
        <w:rPr>
          <w:rtl w:val="0"/>
        </w:rPr>
      </w:r>
    </w:p>
    <w:sectPr>
      <w:pgSz w:h="11906" w:w="16838" w:orient="landscape"/>
      <w:pgMar w:bottom="1440.0000000000002" w:top="1417.3228346456694"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2">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oggiimparoio.it/scuola-per-competenze/le-otto-competenze-europee/#imparare" TargetMode="External"/><Relationship Id="rId10" Type="http://schemas.openxmlformats.org/officeDocument/2006/relationships/hyperlink" Target="http://www.oggiimparoio.it/scuola-per-competenze/le-otto-competenze-europee/#digitale" TargetMode="External"/><Relationship Id="rId13" Type="http://schemas.openxmlformats.org/officeDocument/2006/relationships/hyperlink" Target="http://www.oggiimparoio.it/scuola-per-competenze/le-otto-competenze-europee/#iniziativa" TargetMode="External"/><Relationship Id="rId12" Type="http://schemas.openxmlformats.org/officeDocument/2006/relationships/hyperlink" Target="http://www.oggiimparoio.it/scuola-per-competenze/le-otto-competenze-europee/#social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oggiimparoio.it/scuola-per-competenze/le-otto-competenze-europee/#mate" TargetMode="External"/><Relationship Id="rId15" Type="http://schemas.openxmlformats.org/officeDocument/2006/relationships/hyperlink" Target="http://www.oggiimparoio.it/scuola-per-competenze/le-otto-competenze-europee/#espressione" TargetMode="External"/><Relationship Id="rId14" Type="http://schemas.openxmlformats.org/officeDocument/2006/relationships/hyperlink" Target="http://www.oggiimparoio.it/scuola-per-competenze/le-otto-competenze-europee/#espressione" TargetMode="External"/><Relationship Id="rId5" Type="http://schemas.openxmlformats.org/officeDocument/2006/relationships/styles" Target="styles.xml"/><Relationship Id="rId6" Type="http://schemas.openxmlformats.org/officeDocument/2006/relationships/hyperlink" Target="http://www.oggiimparoio.it/scuola-per-competenze/le-otto-competenze-europee/#madrelingua" TargetMode="External"/><Relationship Id="rId7" Type="http://schemas.openxmlformats.org/officeDocument/2006/relationships/image" Target="media/image4.png"/><Relationship Id="rId8" Type="http://schemas.openxmlformats.org/officeDocument/2006/relationships/hyperlink" Target="http://www.oggiimparoio.it/scuola-per-competenze/le-otto-competenze-europee/#ling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