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240" w:lineRule="auto"/>
        <w:rPr>
          <w:rFonts w:ascii="Times New Roman" w:cs="Times New Roman" w:eastAsia="Times New Roman" w:hAnsi="Times New Roman"/>
        </w:rPr>
      </w:pPr>
      <w:r w:rsidDel="00000000" w:rsidR="00000000" w:rsidRPr="00000000">
        <w:rPr>
          <w:rtl w:val="0"/>
        </w:rPr>
      </w:r>
    </w:p>
    <w:tbl>
      <w:tblPr>
        <w:tblStyle w:val="Table1"/>
        <w:tblW w:w="138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1980"/>
        <w:gridCol w:w="2865"/>
        <w:gridCol w:w="795"/>
        <w:gridCol w:w="1665"/>
        <w:gridCol w:w="2580"/>
        <w:gridCol w:w="1980"/>
        <w:tblGridChange w:id="0">
          <w:tblGrid>
            <w:gridCol w:w="1995"/>
            <w:gridCol w:w="1980"/>
            <w:gridCol w:w="2865"/>
            <w:gridCol w:w="795"/>
            <w:gridCol w:w="1665"/>
            <w:gridCol w:w="2580"/>
            <w:gridCol w:w="1980"/>
          </w:tblGrid>
        </w:tblGridChange>
      </w:tblGrid>
      <w:tr>
        <w:trPr>
          <w:cantSplit w:val="0"/>
          <w:tblHeader w:val="0"/>
        </w:trPr>
        <w:tc>
          <w:tcPr>
            <w:gridSpan w:val="7"/>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30"/>
                <w:szCs w:val="30"/>
                <w:rtl w:val="0"/>
              </w:rPr>
              <w:t xml:space="preserve">UdA </w:t>
            </w:r>
            <w:r w:rsidDel="00000000" w:rsidR="00000000" w:rsidRPr="00000000">
              <w:rPr>
                <w:rtl w:val="0"/>
              </w:rPr>
            </w:r>
          </w:p>
        </w:tc>
      </w:tr>
      <w:tr>
        <w:trPr>
          <w:cantSplit w:val="0"/>
          <w:tblHeader w:val="0"/>
        </w:trPr>
        <w:tc>
          <w:tcPr>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9">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DESTINATARI</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A">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DOCENTE</w:t>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C">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DISCIPLINA/AREA INTERESSATA</w:t>
            </w:r>
          </w:p>
        </w:tc>
        <w:tc>
          <w:tcPr>
            <w:tcBorders>
              <w:top w:color="000000" w:space="0" w:sz="18" w:val="single"/>
              <w:left w:color="000000" w:space="0" w:sz="4" w:val="single"/>
              <w:bottom w:color="000000" w:space="0" w:sz="18" w:val="single"/>
              <w:right w:color="000000" w:space="0" w:sz="18" w:val="single"/>
            </w:tcBorders>
          </w:tcPr>
          <w:p w:rsidR="00000000" w:rsidDel="00000000" w:rsidP="00000000" w:rsidRDefault="00000000" w:rsidRPr="00000000" w14:paraId="0000000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TEMPI</w:t>
            </w:r>
          </w:p>
        </w:tc>
      </w:tr>
      <w:tr>
        <w:trPr>
          <w:cantSplit w:val="0"/>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Classe III</w:t>
            </w:r>
          </w:p>
        </w:tc>
        <w:tc>
          <w:tcPr>
            <w:gridSpan w:val="2"/>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after="0" w:line="240" w:lineRule="auto"/>
              <w:rPr>
                <w:rFonts w:ascii="Times New Roman" w:cs="Times New Roman" w:eastAsia="Times New Roman" w:hAnsi="Times New Roman"/>
                <w:sz w:val="32"/>
                <w:szCs w:val="32"/>
              </w:rPr>
            </w:pPr>
            <w:r w:rsidDel="00000000" w:rsidR="00000000" w:rsidRPr="00000000">
              <w:rPr>
                <w:rtl w:val="0"/>
              </w:rPr>
            </w:r>
          </w:p>
        </w:tc>
        <w:tc>
          <w:tcPr>
            <w:gridSpan w:val="3"/>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3">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Tecnologia</w:t>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480" w:hRule="atLeast"/>
          <w:tblHeader w:val="0"/>
        </w:trPr>
        <w:tc>
          <w:tcPr>
            <w:gridSpan w:val="2"/>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1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Competenze chiave</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9">
            <w:pPr>
              <w:spacing w:after="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Competenza di cittadinanza attiva</w:t>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B">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COMPETENZE ATTESE</w:t>
            </w:r>
            <w:r w:rsidDel="00000000" w:rsidR="00000000" w:rsidRPr="00000000">
              <w:rPr>
                <w:rtl w:val="0"/>
              </w:rPr>
            </w:r>
          </w:p>
        </w:tc>
      </w:tr>
      <w:tr>
        <w:trPr>
          <w:cantSplit w:val="0"/>
          <w:trHeight w:val="420" w:hRule="atLeast"/>
          <w:tblHeader w:val="0"/>
        </w:trPr>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E">
            <w:pPr>
              <w:numPr>
                <w:ilvl w:val="0"/>
                <w:numId w:val="2"/>
              </w:numPr>
              <w:shd w:fill="ffffff" w:val="clear"/>
              <w:spacing w:after="40" w:line="240" w:lineRule="auto"/>
              <w:ind w:left="720" w:right="333.4251968503938" w:hanging="360"/>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u w:val="single"/>
                  <w:rtl w:val="0"/>
                </w:rPr>
                <w:t xml:space="preserve">Comunicazione nella madrelingua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
                      <a:graphic>
                        <a:graphicData uri="http://schemas.microsoft.com/office/word/2010/wordprocessingShape">
                          <wps:wsp>
                            <wps:cNvSpPr/>
                            <wps:cNvPr id="3" name="Shape 3"/>
                            <wps:spPr>
                              <a:xfrm>
                                <a:off x="5374575" y="385302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
                      <a:graphic>
                        <a:graphicData uri="http://schemas.microsoft.com/office/word/2010/wordprocessingShape">
                          <wps:wsp>
                            <wps:cNvSpPr/>
                            <wps:cNvPr id="2" name="Shape 2"/>
                            <wps:spPr>
                              <a:xfrm>
                                <a:off x="5391720" y="3835880"/>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F">
            <w:pPr>
              <w:numPr>
                <w:ilvl w:val="0"/>
                <w:numId w:val="2"/>
              </w:numPr>
              <w:shd w:fill="ffffff" w:val="clear"/>
              <w:spacing w:after="40" w:line="240" w:lineRule="auto"/>
              <w:ind w:left="720" w:hanging="360"/>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u w:val="single"/>
                  <w:rtl w:val="0"/>
                </w:rPr>
                <w:t xml:space="preserve">Comunicazione nelle lingue straniere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
                      <a:graphic>
                        <a:graphicData uri="http://schemas.microsoft.com/office/word/2010/wordprocessingShape">
                          <wps:wsp>
                            <wps:cNvSpPr/>
                            <wps:cNvPr id="5" name="Shape 5"/>
                            <wps:spPr>
                              <a:xfrm>
                                <a:off x="5378385" y="38390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0">
            <w:pPr>
              <w:numPr>
                <w:ilvl w:val="0"/>
                <w:numId w:val="2"/>
              </w:numPr>
              <w:shd w:fill="ffffff" w:val="clear"/>
              <w:spacing w:after="40" w:line="240" w:lineRule="auto"/>
              <w:ind w:left="720" w:hanging="360"/>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u w:val="single"/>
                  <w:rtl w:val="0"/>
                </w:rPr>
                <w:t xml:space="preserve">Competenza matematica e competenze di base in scienza e tecnologia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
                      <a:graphic>
                        <a:graphicData uri="http://schemas.microsoft.com/office/word/2010/wordprocessingShape">
                          <wps:wsp>
                            <wps:cNvSpPr/>
                            <wps:cNvPr id="7" name="Shape 7"/>
                            <wps:spPr>
                              <a:xfrm>
                                <a:off x="5389815" y="3865090"/>
                                <a:ext cx="114300"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1">
            <w:pPr>
              <w:numPr>
                <w:ilvl w:val="0"/>
                <w:numId w:val="2"/>
              </w:numPr>
              <w:shd w:fill="ffffff" w:val="clear"/>
              <w:spacing w:after="40" w:line="240" w:lineRule="auto"/>
              <w:ind w:left="720" w:hanging="360"/>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u w:val="single"/>
                  <w:rtl w:val="0"/>
                </w:rPr>
                <w:t xml:space="preserve">Competenza digitale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
                      <a:graphic>
                        <a:graphicData uri="http://schemas.microsoft.com/office/word/2010/wordprocessingShape">
                          <wps:wsp>
                            <wps:cNvSpPr/>
                            <wps:cNvPr id="8" name="Shape 8"/>
                            <wps:spPr>
                              <a:xfrm>
                                <a:off x="5350445" y="3840325"/>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2">
            <w:pPr>
              <w:numPr>
                <w:ilvl w:val="0"/>
                <w:numId w:val="2"/>
              </w:numPr>
              <w:shd w:fill="ffffff" w:val="clear"/>
              <w:spacing w:after="40" w:line="240" w:lineRule="auto"/>
              <w:ind w:left="720" w:hanging="360"/>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u w:val="single"/>
                  <w:rtl w:val="0"/>
                </w:rPr>
                <w:t xml:space="preserve">Imparare ad imparare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
                      <a:graphic>
                        <a:graphicData uri="http://schemas.microsoft.com/office/word/2010/wordprocessingShape">
                          <wps:wsp>
                            <wps:cNvSpPr/>
                            <wps:cNvPr id="9" name="Shape 9"/>
                            <wps:spPr>
                              <a:xfrm>
                                <a:off x="5347270" y="38517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3">
            <w:pPr>
              <w:numPr>
                <w:ilvl w:val="0"/>
                <w:numId w:val="2"/>
              </w:numPr>
              <w:shd w:fill="ffffff" w:val="clear"/>
              <w:spacing w:after="40" w:line="240" w:lineRule="auto"/>
              <w:ind w:left="720" w:hanging="360"/>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u w:val="single"/>
                  <w:rtl w:val="0"/>
                </w:rPr>
                <w:t xml:space="preserve">Competenze sociali e civiche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
                      <a:graphic>
                        <a:graphicData uri="http://schemas.microsoft.com/office/word/2010/wordprocessingShape">
                          <wps:wsp>
                            <wps:cNvSpPr/>
                            <wps:cNvPr id="6" name="Shape 6"/>
                            <wps:spPr>
                              <a:xfrm>
                                <a:off x="5346000" y="3853025"/>
                                <a:ext cx="123825"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4">
            <w:pPr>
              <w:numPr>
                <w:ilvl w:val="0"/>
                <w:numId w:val="2"/>
              </w:numPr>
              <w:shd w:fill="ffffff" w:val="clear"/>
              <w:spacing w:after="40" w:line="240" w:lineRule="auto"/>
              <w:ind w:left="720" w:hanging="360"/>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u w:val="single"/>
                  <w:rtl w:val="0"/>
                </w:rPr>
                <w:t xml:space="preserve">Spirito di iniziativa e imprenditorialità</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
                      <a:graphic>
                        <a:graphicData uri="http://schemas.microsoft.com/office/word/2010/wordprocessingShape">
                          <wps:wsp>
                            <wps:cNvSpPr/>
                            <wps:cNvPr id="4" name="Shape 4"/>
                            <wps:spPr>
                              <a:xfrm>
                                <a:off x="5372669" y="3862550"/>
                                <a:ext cx="133351"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5">
            <w:pPr>
              <w:numPr>
                <w:ilvl w:val="0"/>
                <w:numId w:val="2"/>
              </w:numPr>
              <w:shd w:fill="ffffff" w:val="clear"/>
              <w:spacing w:after="40" w:line="240" w:lineRule="auto"/>
              <w:ind w:left="720" w:hanging="360"/>
              <w:rPr>
                <w:rFonts w:ascii="Noto Sans Symbols" w:cs="Noto Sans Symbols" w:eastAsia="Noto Sans Symbols" w:hAnsi="Noto Sans Symbols"/>
              </w:rPr>
            </w:pPr>
            <w:hyperlink r:id="rId14">
              <w:r w:rsidDel="00000000" w:rsidR="00000000" w:rsidRPr="00000000">
                <w:rPr>
                  <w:rFonts w:ascii="Times New Roman" w:cs="Times New Roman" w:eastAsia="Times New Roman" w:hAnsi="Times New Roman"/>
                  <w:u w:val="single"/>
                  <w:rtl w:val="0"/>
                </w:rPr>
                <w:t xml:space="preserve">Consapevolezza ed espressione cultural</w:t>
              </w:r>
            </w:hyperlink>
            <w:hyperlink r:id="rId15">
              <w:r w:rsidDel="00000000" w:rsidR="00000000" w:rsidRPr="00000000">
                <w:rPr>
                  <w:rFonts w:ascii="Times New Roman" w:cs="Times New Roman" w:eastAsia="Times New Roman" w:hAnsi="Times New Roman"/>
                  <w:b w:val="1"/>
                  <w:bCs w:val="1"/>
                  <w:u w:val="single"/>
                  <w:rtl w:val="0"/>
                </w:rPr>
                <w:t xml:space="preserve">e</w:t>
              </w:r>
            </w:hyperlink>
            <w:r w:rsidDel="00000000" w:rsidR="00000000" w:rsidRPr="00000000">
              <w:rPr>
                <w:rtl w:val="0"/>
              </w:rPr>
            </w:r>
          </w:p>
          <w:p w:rsidR="00000000" w:rsidDel="00000000" w:rsidP="00000000" w:rsidRDefault="00000000" w:rsidRPr="00000000" w14:paraId="00000026">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29">
            <w:pPr>
              <w:numPr>
                <w:ilvl w:val="1"/>
                <w:numId w:val="1"/>
              </w:numPr>
              <w:spacing w:after="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Imparare ad imparare.</w:t>
            </w:r>
          </w:p>
          <w:p w:rsidR="00000000" w:rsidDel="00000000" w:rsidP="00000000" w:rsidRDefault="00000000" w:rsidRPr="00000000" w14:paraId="0000002A">
            <w:pPr>
              <w:numPr>
                <w:ilvl w:val="1"/>
                <w:numId w:val="1"/>
              </w:numPr>
              <w:spacing w:after="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Progettare.</w:t>
            </w:r>
          </w:p>
          <w:p w:rsidR="00000000" w:rsidDel="00000000" w:rsidP="00000000" w:rsidRDefault="00000000" w:rsidRPr="00000000" w14:paraId="0000002B">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Comunicare.</w:t>
            </w:r>
          </w:p>
          <w:p w:rsidR="00000000" w:rsidDel="00000000" w:rsidP="00000000" w:rsidRDefault="00000000" w:rsidRPr="00000000" w14:paraId="0000002C">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Collaborare e partecipare.</w:t>
            </w:r>
          </w:p>
          <w:p w:rsidR="00000000" w:rsidDel="00000000" w:rsidP="00000000" w:rsidRDefault="00000000" w:rsidRPr="00000000" w14:paraId="0000002D">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Agire in modo autonomo e responsabile.</w:t>
            </w:r>
          </w:p>
          <w:p w:rsidR="00000000" w:rsidDel="00000000" w:rsidP="00000000" w:rsidRDefault="00000000" w:rsidRPr="00000000" w14:paraId="0000002E">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Risolvere problemi</w:t>
            </w:r>
          </w:p>
          <w:p w:rsidR="00000000" w:rsidDel="00000000" w:rsidP="00000000" w:rsidRDefault="00000000" w:rsidRPr="00000000" w14:paraId="0000002F">
            <w:pPr>
              <w:spacing w:after="0"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Individuare collegamenti e relazioni</w:t>
            </w:r>
          </w:p>
          <w:p w:rsidR="00000000" w:rsidDel="00000000" w:rsidP="00000000" w:rsidRDefault="00000000" w:rsidRPr="00000000" w14:paraId="00000030">
            <w:pPr>
              <w:spacing w:after="0" w:line="240" w:lineRule="auto"/>
              <w:ind w:left="432" w:hanging="426"/>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3.3 Acquisire e interpretare l’informazione.</w:t>
            </w:r>
            <w:r w:rsidDel="00000000" w:rsidR="00000000" w:rsidRPr="00000000">
              <w:rPr>
                <w:rtl w:val="0"/>
              </w:rPr>
            </w:r>
          </w:p>
        </w:tc>
        <w:tc>
          <w:tcPr>
            <w:gridSpan w:val="3"/>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32">
            <w:pP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Riconoscere e identificare nell’ambiente elementi e fenomeni di tipo artificiale.                                                                                    • Iniziare a riconoscere in modo critico le caratteristiche, le funzioni e i limiti della tecnologia attuale.</w:t>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alcuni processi di trasformazione di risorse e di consumo di energia e il relativo impatto ambientale.</w:t>
            </w:r>
          </w:p>
          <w:p w:rsidR="00000000" w:rsidDel="00000000" w:rsidP="00000000" w:rsidRDefault="00000000" w:rsidRPr="00000000" w14:paraId="0000003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Essere in grado di utilizzare, concepire e realizzare semplici modelli e oggetti funzionali, anche tenendo conto dei principi di sostenibilità e funzionalità.                                                                                                                                                                            • Comprendere e spiegare il funzionamento di dispositivi tecnologici semplici e saper risolvere problemi tecnici elementari.</w:t>
            </w:r>
          </w:p>
          <w:p w:rsidR="00000000" w:rsidDel="00000000" w:rsidP="00000000" w:rsidRDefault="00000000" w:rsidRPr="00000000" w14:paraId="00000035">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Saper ricavare informazioni utili su proprietà e caratteristiche di beni o servizi leggendo etichette, volantini o altra documentazione tecnica e commerciale.                                                                                                                                                                • Orientarsi tra i diversi mezzi di comunicazione ed essere in grado di farne un uso adeguato a seconda delle diverse situazioni.                                                                                                                                                                                                                • Produrre semplici modelli o rappresentazioni grafiche del proprio operato utilizzando elementi del disegno tecnico o strumenti multimediali.</w:t>
            </w: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INFORMATICA:</w:t>
            </w:r>
          </w:p>
          <w:p w:rsidR="00000000" w:rsidDel="00000000" w:rsidP="00000000" w:rsidRDefault="00000000" w:rsidRPr="00000000" w14:paraId="0000003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Riconoscere la presenza dei computer nei dispositivi tecnologici della vita quotidiana.</w:t>
            </w:r>
          </w:p>
          <w:p w:rsidR="00000000" w:rsidDel="00000000" w:rsidP="00000000" w:rsidRDefault="00000000" w:rsidRPr="00000000" w14:paraId="0000003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Riconoscere Internet come infrastruttura di comunicazione, distinguendola dai relativi servizi </w:t>
            </w:r>
            <w:r w:rsidDel="00000000" w:rsidR="00000000" w:rsidRPr="00000000">
              <w:rPr>
                <w:rFonts w:ascii="Times New Roman" w:cs="Times New Roman" w:eastAsia="Times New Roman" w:hAnsi="Times New Roman"/>
                <w:b w:val="1"/>
                <w:bCs w:val="1"/>
                <w:rtl w:val="0"/>
              </w:rPr>
              <w:t xml:space="preserve">(es: motori di ricerca, posta elettronica, World Wide Web)</w:t>
            </w:r>
            <w:r w:rsidDel="00000000" w:rsidR="00000000" w:rsidRPr="00000000">
              <w:rPr>
                <w:rFonts w:ascii="Times New Roman" w:cs="Times New Roman" w:eastAsia="Times New Roman" w:hAnsi="Times New Roman"/>
                <w:rtl w:val="0"/>
              </w:rPr>
              <w:t xml:space="preserve"> e dai contenuti trasmessi.</w:t>
            </w:r>
          </w:p>
          <w:p w:rsidR="00000000" w:rsidDel="00000000" w:rsidP="00000000" w:rsidRDefault="00000000" w:rsidRPr="00000000" w14:paraId="0000003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le regole fondamentali per un utilizzo sicuro e socialmente responsabile della tecnologia informatica.</w:t>
            </w:r>
          </w:p>
          <w:p w:rsidR="00000000" w:rsidDel="00000000" w:rsidP="00000000" w:rsidRDefault="00000000" w:rsidRPr="00000000" w14:paraId="0000003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Usare la tecnologia informatica per scegliere ed usare contenuti digitali.                                                                                                                   • Sviluppare un atteggiamento positivo nei confronti delle applicazioni informatiche riconoscendone le potenzialità come strumenti di espressione personale nella vita quotidiana.</w:t>
            </w:r>
          </w:p>
          <w:p w:rsidR="00000000" w:rsidDel="00000000" w:rsidP="00000000" w:rsidRDefault="00000000" w:rsidRPr="00000000" w14:paraId="0000003B">
            <w:pPr>
              <w:spacing w:after="0" w:line="240" w:lineRule="auto"/>
              <w:jc w:val="both"/>
              <w:rPr>
                <w:rFonts w:ascii="Times New Roman" w:cs="Times New Roman" w:eastAsia="Times New Roman" w:hAnsi="Times New Roman"/>
              </w:rPr>
            </w:pP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03E">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8"/>
                <w:szCs w:val="28"/>
                <w:rtl w:val="0"/>
              </w:rPr>
              <w:t xml:space="preserve">ARTICOLAZIONE DELL’UDA</w:t>
            </w:r>
            <w:r w:rsidDel="00000000" w:rsidR="00000000" w:rsidRPr="00000000">
              <w:rPr>
                <w:rtl w:val="0"/>
              </w:rPr>
            </w:r>
          </w:p>
        </w:tc>
      </w:tr>
      <w:tr>
        <w:trPr>
          <w:cantSplit w:val="0"/>
          <w:trHeight w:val="440" w:hRule="atLeast"/>
          <w:tblHeader w:val="0"/>
        </w:trPr>
        <w:tc>
          <w:tcPr>
            <w:gridSpan w:val="3"/>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5">
            <w:pPr>
              <w:shd w:fill="ffffff" w:val="clear"/>
              <w:spacing w:after="0" w:line="240" w:lineRule="auto"/>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OBIETTIVI DI APPRENDIMENTO</w:t>
            </w:r>
          </w:p>
        </w:tc>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CONTENUTI</w:t>
            </w: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ATTIVITÀ/COMPITI SIGNIFICATIVI</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VEDERE, OSSERVARE E SPERIMENTARE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4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Riconoscere e identificare elementi e fenomeni di tipo artificiale nell’ambiente                                                                     • Conoscere alcuni processi di trasformazione di risorse e di consumo di energia, e del relativo impatto ambientale</w:t>
            </w:r>
          </w:p>
        </w:tc>
        <w:tc>
          <w:tcPr>
            <w:gridSpan w:val="2"/>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PREVEDERE, IMMAGINARE E PROGETTARE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5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Utilizzare, concepire e realizzare semplici modelli descrivendo la sequenza delle operazioni                                                                 • Eseguire semplici misurazioni sull’ambiente scolastico o sulla propria abitazione                                                                                 • Prevedere le conseguenze di semplici decisioni o comportamenti personali</w:t>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INTERVENIRE, TRASFORMARE E PRODURRE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5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Effettuare prove e esperienze sulle proprietà dei materiali più comuni                                                                                               • Eseguire interventi di decorazione, riparazione e manutenzione del proprio corredo scolastico</w:t>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INFORMATICA</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Riconoscere usi dell’Informatica e delle sue tecnologie nella vita comune                                                                    • Comprendere il concetto di informazioni private e la necessità di tenerle riservate                                                     • Comprendere l’importanza del rispetto degli altri nell'uso delle tecnologie digitali                                                              • Saper chiedere aiuto in caso di problemi relativi a materiali scaricati o contatti in cui si è coinvolti su Internet o attraverso altre tecnologie online                      </w:t>
            </w:r>
          </w:p>
          <w:p w:rsidR="00000000" w:rsidDel="00000000" w:rsidP="00000000" w:rsidRDefault="00000000" w:rsidRPr="00000000" w14:paraId="0000006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Creare contenuti digitali elementari                                              • Selezionare ed utilizzare contenuti digitali a fini espressivi, usando in modo semplice applicazioni e tecnologie informatiche.</w:t>
            </w:r>
          </w:p>
          <w:p w:rsidR="00000000" w:rsidDel="00000000" w:rsidP="00000000" w:rsidRDefault="00000000" w:rsidRPr="00000000" w14:paraId="0000006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Iniziare a percepire il valore dei dati e la necessità di proteggere le proprie informazioni personali.</w:t>
            </w:r>
            <w:r w:rsidDel="00000000" w:rsidR="00000000" w:rsidRPr="00000000">
              <w:rPr>
                <w:rtl w:val="0"/>
              </w:rPr>
            </w:r>
          </w:p>
          <w:p w:rsidR="00000000" w:rsidDel="00000000" w:rsidP="00000000" w:rsidRDefault="00000000" w:rsidRPr="00000000" w14:paraId="0000006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Avviare allo sviluppo del Pensiero Computazionale attraverso attività di coding unplugged</w:t>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6B">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METODOLOGIA</w:t>
            </w:r>
            <w:r w:rsidDel="00000000" w:rsidR="00000000" w:rsidRPr="00000000">
              <w:rPr>
                <w:rtl w:val="0"/>
              </w:rPr>
            </w:r>
          </w:p>
        </w:tc>
      </w:tr>
      <w:tr>
        <w:trPr>
          <w:cantSplit w:val="0"/>
          <w:tblHeader w:val="0"/>
        </w:trPr>
        <w:tc>
          <w:tcPr>
            <w:gridSpan w:val="7"/>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7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metodologia e i contenuti faranno sempre riferimento a tutto ciò che di concreto e manipolabile può offrire la realtà. In particolare l’attenzione verrà posta sulla presa di coscienza del proprio corpo e degli organi di senso, strumenti indispensabili per porsi in relazione con il con una progressiva acquisizione della percezione del proprio corpo in relazione all’ambiente esterno dal più vicino al più lontano.</w:t>
            </w:r>
          </w:p>
          <w:p w:rsidR="00000000" w:rsidDel="00000000" w:rsidP="00000000" w:rsidRDefault="00000000" w:rsidRPr="00000000" w14:paraId="0000007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osservazioni dei fenomeni a lungo termine saranno considerate come punti centrali per lo sviluppo della disciplina poiché offrono molti spunti didattici, stimolano il ragionamento, la capacità di fare ipotesi interpretative e verificarle nel concreto.</w:t>
            </w:r>
          </w:p>
          <w:p w:rsidR="00000000" w:rsidDel="00000000" w:rsidP="00000000" w:rsidRDefault="00000000" w:rsidRPr="00000000" w14:paraId="0000007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tutte le attività previste si farà riferimento al metodo scientifico che prevede osservazioni, confronti, descrizioni e classificazioni. Si arriverà alla strutturazione di competenze e all’acquisizione di concetti attraverso attività di indagine e ricerca.</w:t>
            </w:r>
          </w:p>
          <w:p w:rsidR="00000000" w:rsidDel="00000000" w:rsidP="00000000" w:rsidRDefault="00000000" w:rsidRPr="00000000" w14:paraId="0000007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Questo modo di procedere porterà il bambino nel corso degli anni ad assumere un atteggiamento corretto nei confronti delle scienze sperimentali sia stimolando l’interesse per la disciplina in sé sia, in una visione più ampia, favorendo un atteggiamento mentale positivo verso tutti gli aspetti della realtà che lo circonda.</w:t>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7C">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AMBIENTE DI APPRENDIMENTO</w:t>
            </w:r>
            <w:r w:rsidDel="00000000" w:rsidR="00000000" w:rsidRPr="00000000">
              <w:rPr>
                <w:rtl w:val="0"/>
              </w:rPr>
            </w:r>
          </w:p>
        </w:tc>
      </w:tr>
      <w:tr>
        <w:trPr>
          <w:cantSplit w:val="0"/>
          <w:tblHeader w:val="0"/>
        </w:trPr>
        <w:tc>
          <w:tcPr>
            <w:gridSpan w:val="7"/>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83">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Valorizzazione dell’esperienza e delle conoscenze degli alunni</w:t>
            </w:r>
          </w:p>
          <w:p w:rsidR="00000000" w:rsidDel="00000000" w:rsidP="00000000" w:rsidRDefault="00000000" w:rsidRPr="00000000" w14:paraId="00000084">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Promozione della consapevolezza del proprio modo di essere</w:t>
            </w:r>
          </w:p>
          <w:p w:rsidR="00000000" w:rsidDel="00000000" w:rsidP="00000000" w:rsidRDefault="00000000" w:rsidRPr="00000000" w14:paraId="00000085">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Attuazione di interventi adeguati nei riguardi della diversità</w:t>
            </w:r>
          </w:p>
          <w:p w:rsidR="00000000" w:rsidDel="00000000" w:rsidP="00000000" w:rsidRDefault="00000000" w:rsidRPr="00000000" w14:paraId="00000086">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Problematizzazione, esplorazione e scoperta</w:t>
            </w:r>
          </w:p>
          <w:p w:rsidR="00000000" w:rsidDel="00000000" w:rsidP="00000000" w:rsidRDefault="00000000" w:rsidRPr="00000000" w14:paraId="00000087">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Sensibilizzazione all’apprendimento collaborativo</w:t>
            </w:r>
          </w:p>
          <w:p w:rsidR="00000000" w:rsidDel="00000000" w:rsidP="00000000" w:rsidRDefault="00000000" w:rsidRPr="00000000" w14:paraId="00000088">
            <w:pPr>
              <w:tabs>
                <w:tab w:val="left" w:leader="none" w:pos="2844"/>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Realizzazione di percorsi in forma di laboratorio</w:t>
            </w:r>
          </w:p>
          <w:p w:rsidR="00000000" w:rsidDel="00000000" w:rsidP="00000000" w:rsidRDefault="00000000" w:rsidRPr="00000000" w14:paraId="00000089">
            <w:pPr>
              <w:tabs>
                <w:tab w:val="left" w:leader="none" w:pos="2844"/>
              </w:tabs>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L’errore verrà considerato come una risorsa per trovare la strada giusta nel risolvere problemi.</w:t>
            </w:r>
            <w:r w:rsidDel="00000000" w:rsidR="00000000" w:rsidRPr="00000000">
              <w:rPr>
                <w:rtl w:val="0"/>
              </w:rPr>
            </w:r>
          </w:p>
        </w:tc>
      </w:tr>
      <w:tr>
        <w:trPr>
          <w:cantSplit w:val="0"/>
          <w:tblHeader w:val="0"/>
        </w:trPr>
        <w:tc>
          <w:tcPr>
            <w:gridSpan w:val="7"/>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90">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VALUTAZIONE</w:t>
            </w:r>
            <w:r w:rsidDel="00000000" w:rsidR="00000000" w:rsidRPr="00000000">
              <w:rPr>
                <w:rtl w:val="0"/>
              </w:rPr>
            </w:r>
          </w:p>
        </w:tc>
      </w:tr>
      <w:tr>
        <w:trPr>
          <w:cantSplit w:val="0"/>
          <w:tblHeader w:val="0"/>
        </w:trPr>
        <w:tc>
          <w:tcPr>
            <w:gridSpan w:val="2"/>
            <w:tcBorders>
              <w:top w:color="000000" w:space="0" w:sz="18" w:val="single"/>
              <w:left w:color="000000" w:space="0" w:sz="4" w:val="single"/>
              <w:bottom w:color="000000" w:space="0" w:sz="4" w:val="single"/>
              <w:right w:color="000000" w:space="0" w:sz="6" w:val="single"/>
            </w:tcBorders>
          </w:tcPr>
          <w:p w:rsidR="00000000" w:rsidDel="00000000" w:rsidP="00000000" w:rsidRDefault="00000000" w:rsidRPr="00000000" w14:paraId="00000097">
            <w:pPr>
              <w:tabs>
                <w:tab w:val="left" w:leader="none" w:pos="2844"/>
              </w:tabs>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4"/>
                <w:szCs w:val="24"/>
                <w:rtl w:val="0"/>
              </w:rPr>
              <w:t xml:space="preserve">Modalità di valutazione- strumenti</w:t>
            </w:r>
            <w:r w:rsidDel="00000000" w:rsidR="00000000" w:rsidRPr="00000000">
              <w:rPr>
                <w:rtl w:val="0"/>
              </w:rPr>
            </w:r>
          </w:p>
        </w:tc>
        <w:tc>
          <w:tcPr>
            <w:gridSpan w:val="5"/>
            <w:tcBorders>
              <w:top w:color="000000" w:space="0" w:sz="18" w:val="single"/>
              <w:left w:color="000000" w:space="0" w:sz="6" w:val="single"/>
              <w:bottom w:color="000000" w:space="0" w:sz="4" w:val="single"/>
              <w:right w:color="000000" w:space="0" w:sz="4" w:val="single"/>
            </w:tcBorders>
          </w:tcPr>
          <w:p w:rsidR="00000000" w:rsidDel="00000000" w:rsidP="00000000" w:rsidRDefault="00000000" w:rsidRPr="00000000" w14:paraId="00000099">
            <w:pPr>
              <w:tabs>
                <w:tab w:val="left" w:leader="none" w:pos="2844"/>
              </w:tabs>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4"/>
                <w:szCs w:val="24"/>
                <w:rtl w:val="0"/>
              </w:rPr>
              <w:t xml:space="preserve">Recupero/consolidamento/potenziamento</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09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tipologie degli strumenti di utilizzati saranno:</w:t>
            </w:r>
          </w:p>
          <w:p w:rsidR="00000000" w:rsidDel="00000000" w:rsidP="00000000" w:rsidRDefault="00000000" w:rsidRPr="00000000" w14:paraId="0000009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soggettive/oggettive </w:t>
            </w:r>
          </w:p>
          <w:p w:rsidR="00000000" w:rsidDel="00000000" w:rsidP="00000000" w:rsidRDefault="00000000" w:rsidRPr="00000000" w14:paraId="000000A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pratiche </w:t>
            </w:r>
          </w:p>
          <w:p w:rsidR="00000000" w:rsidDel="00000000" w:rsidP="00000000" w:rsidRDefault="00000000" w:rsidRPr="00000000" w14:paraId="000000A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test oggettivi </w:t>
            </w:r>
          </w:p>
          <w:p w:rsidR="00000000" w:rsidDel="00000000" w:rsidP="00000000" w:rsidRDefault="00000000" w:rsidRPr="00000000" w14:paraId="000000A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colloqui con gli studenti (interrogazioni) che saranno opportunamente integrati da osservazioni sistematiche significative</w:t>
            </w:r>
          </w:p>
        </w:tc>
        <w:tc>
          <w:tcPr>
            <w:gridSpan w:val="5"/>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A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recupero/consolidamento/potenziamento avverrà per mezzi “correttivi” che potranno essere: uso di test alternativi, per offrire all’allievo una presentazione diversa del contenuto. </w:t>
            </w:r>
          </w:p>
          <w:p w:rsidR="00000000" w:rsidDel="00000000" w:rsidP="00000000" w:rsidRDefault="00000000" w:rsidRPr="00000000" w14:paraId="000000A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Schede semplificate. </w:t>
            </w:r>
          </w:p>
          <w:p w:rsidR="00000000" w:rsidDel="00000000" w:rsidP="00000000" w:rsidRDefault="00000000" w:rsidRPr="00000000" w14:paraId="000000A6">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Materiale audiovisivo, corredato da mappe concettuali, fotografie, diapositive, lucidi, uso appropriato delle tecnologie multimediale, tutoring correttivo.</w:t>
            </w:r>
            <w:r w:rsidDel="00000000" w:rsidR="00000000" w:rsidRPr="00000000">
              <w:rPr>
                <w:rtl w:val="0"/>
              </w:rPr>
            </w:r>
          </w:p>
        </w:tc>
      </w:tr>
    </w:tbl>
    <w:p w:rsidR="00000000" w:rsidDel="00000000" w:rsidP="00000000" w:rsidRDefault="00000000" w:rsidRPr="00000000" w14:paraId="000000AB">
      <w:pPr>
        <w:spacing w:after="0" w:line="240" w:lineRule="auto"/>
        <w:rPr>
          <w:rFonts w:ascii="Times New Roman" w:cs="Times New Roman" w:eastAsia="Times New Roman" w:hAnsi="Times New Roman"/>
        </w:rPr>
      </w:pPr>
      <w:r w:rsidDel="00000000" w:rsidR="00000000" w:rsidRPr="00000000">
        <w:rPr>
          <w:rtl w:val="0"/>
        </w:rPr>
      </w:r>
    </w:p>
    <w:sectPr>
      <w:pgSz w:h="11906" w:w="16838" w:orient="landscape"/>
      <w:pgMar w:bottom="1440.0000000000002" w:top="1417.3228346456694"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oggiimparoio.it/scuola-per-competenze/le-otto-competenze-europee/#imparare" TargetMode="External"/><Relationship Id="rId10" Type="http://schemas.openxmlformats.org/officeDocument/2006/relationships/hyperlink" Target="http://www.oggiimparoio.it/scuola-per-competenze/le-otto-competenze-europee/#digitale" TargetMode="External"/><Relationship Id="rId13" Type="http://schemas.openxmlformats.org/officeDocument/2006/relationships/hyperlink" Target="http://www.oggiimparoio.it/scuola-per-competenze/le-otto-competenze-europee/#iniziativa" TargetMode="External"/><Relationship Id="rId12" Type="http://schemas.openxmlformats.org/officeDocument/2006/relationships/hyperlink" Target="http://www.oggiimparoio.it/scuola-per-competenze/le-otto-competenze-europee/#social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oggiimparoio.it/scuola-per-competenze/le-otto-competenze-europee/#mate" TargetMode="External"/><Relationship Id="rId15" Type="http://schemas.openxmlformats.org/officeDocument/2006/relationships/hyperlink" Target="http://www.oggiimparoio.it/scuola-per-competenze/le-otto-competenze-europee/#espressione" TargetMode="External"/><Relationship Id="rId14" Type="http://schemas.openxmlformats.org/officeDocument/2006/relationships/hyperlink" Target="http://www.oggiimparoio.it/scuola-per-competenze/le-otto-competenze-europee/#espressione" TargetMode="External"/><Relationship Id="rId5" Type="http://schemas.openxmlformats.org/officeDocument/2006/relationships/styles" Target="styles.xml"/><Relationship Id="rId6" Type="http://schemas.openxmlformats.org/officeDocument/2006/relationships/hyperlink" Target="http://www.oggiimparoio.it/scuola-per-competenze/le-otto-competenze-europee/#madrelingua" TargetMode="External"/><Relationship Id="rId7" Type="http://schemas.openxmlformats.org/officeDocument/2006/relationships/image" Target="media/image2.png"/><Relationship Id="rId8" Type="http://schemas.openxmlformats.org/officeDocument/2006/relationships/hyperlink" Target="http://www.oggiimparoio.it/scuola-per-competenze/le-otto-competenze-europee/#ling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